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2617" w14:textId="77777777" w:rsidR="002D4987" w:rsidRPr="002D4987" w:rsidRDefault="002D4987" w:rsidP="002D4987">
      <w:pPr>
        <w:keepNext/>
        <w:keepLines/>
        <w:spacing w:before="40" w:after="0"/>
        <w:jc w:val="center"/>
        <w:outlineLvl w:val="2"/>
        <w:rPr>
          <w:rFonts w:ascii="Rift Bold" w:eastAsiaTheme="majorEastAsia" w:hAnsi="Rift Bold" w:cstheme="minorHAnsi"/>
          <w:color w:val="15385F"/>
          <w:sz w:val="24"/>
          <w:szCs w:val="24"/>
          <w:lang w:eastAsia="ja-JP"/>
        </w:rPr>
      </w:pPr>
      <w:r w:rsidRPr="002D4987">
        <w:rPr>
          <w:rFonts w:asciiTheme="majorHAnsi" w:eastAsiaTheme="majorEastAsia" w:hAnsiTheme="majorHAnsi" w:cstheme="majorBidi"/>
          <w:noProof/>
          <w:color w:val="1F4D78" w:themeColor="accent1" w:themeShade="7F"/>
          <w:sz w:val="24"/>
          <w:szCs w:val="24"/>
          <w:lang w:eastAsia="ja-JP"/>
        </w:rPr>
        <w:drawing>
          <wp:inline distT="0" distB="0" distL="0" distR="0" wp14:anchorId="602C2338" wp14:editId="18500C7D">
            <wp:extent cx="923925" cy="9239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112EE" w14:textId="3B75ED70" w:rsidR="002D4987" w:rsidRDefault="002D4987" w:rsidP="003A7177">
      <w:pPr>
        <w:keepNext/>
        <w:keepLines/>
        <w:spacing w:after="0" w:line="240" w:lineRule="auto"/>
        <w:jc w:val="center"/>
        <w:outlineLvl w:val="2"/>
        <w:rPr>
          <w:rFonts w:ascii="Rift Bold" w:eastAsiaTheme="majorEastAsia" w:hAnsi="Rift Bold" w:cstheme="minorHAnsi"/>
          <w:color w:val="15385F"/>
          <w:sz w:val="36"/>
          <w:szCs w:val="36"/>
          <w:lang w:eastAsia="ja-JP"/>
        </w:rPr>
      </w:pPr>
      <w:r>
        <w:rPr>
          <w:rFonts w:ascii="Rift Bold" w:eastAsiaTheme="majorEastAsia" w:hAnsi="Rift Bold" w:cstheme="minorHAnsi"/>
          <w:color w:val="15385F"/>
          <w:sz w:val="36"/>
          <w:szCs w:val="36"/>
          <w:lang w:eastAsia="ja-JP"/>
        </w:rPr>
        <w:t>HUMAN RESOURCES SPECIAILIST</w:t>
      </w:r>
    </w:p>
    <w:p w14:paraId="3622A619" w14:textId="439738E0" w:rsidR="002D4987" w:rsidRDefault="002D4987" w:rsidP="003A7177">
      <w:pPr>
        <w:keepNext/>
        <w:keepLines/>
        <w:spacing w:after="0" w:line="240" w:lineRule="auto"/>
        <w:jc w:val="center"/>
        <w:outlineLvl w:val="2"/>
        <w:rPr>
          <w:rFonts w:ascii="Rift Bold" w:eastAsiaTheme="majorEastAsia" w:hAnsi="Rift Bold" w:cstheme="minorHAnsi"/>
          <w:color w:val="15385F"/>
          <w:sz w:val="36"/>
          <w:szCs w:val="36"/>
          <w:lang w:eastAsia="ja-JP"/>
        </w:rPr>
      </w:pPr>
      <w:r>
        <w:rPr>
          <w:rFonts w:ascii="Rift Bold" w:eastAsiaTheme="majorEastAsia" w:hAnsi="Rift Bold" w:cstheme="minorHAnsi"/>
          <w:color w:val="15385F"/>
          <w:sz w:val="36"/>
          <w:szCs w:val="36"/>
          <w:lang w:eastAsia="ja-JP"/>
        </w:rPr>
        <w:t>JOB DESCRIPTION</w:t>
      </w:r>
    </w:p>
    <w:p w14:paraId="1B6DBA00" w14:textId="77777777" w:rsidR="00044614" w:rsidRPr="002D4987" w:rsidRDefault="00044614" w:rsidP="003A7177">
      <w:pPr>
        <w:keepNext/>
        <w:keepLines/>
        <w:spacing w:after="0" w:line="240" w:lineRule="auto"/>
        <w:jc w:val="center"/>
        <w:outlineLvl w:val="2"/>
        <w:rPr>
          <w:rFonts w:ascii="Rift Bold" w:eastAsiaTheme="majorEastAsia" w:hAnsi="Rift Bold" w:cstheme="minorHAnsi"/>
          <w:color w:val="15385F"/>
          <w:sz w:val="36"/>
          <w:szCs w:val="36"/>
          <w:lang w:eastAsia="ja-JP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1891"/>
        <w:gridCol w:w="2785"/>
      </w:tblGrid>
      <w:tr w:rsidR="002D4987" w:rsidRPr="002D4987" w14:paraId="50746825" w14:textId="77777777" w:rsidTr="00CC3047">
        <w:tc>
          <w:tcPr>
            <w:tcW w:w="1975" w:type="dxa"/>
          </w:tcPr>
          <w:p w14:paraId="17C8E8BD" w14:textId="192E5A33" w:rsidR="002D4987" w:rsidRPr="002D4987" w:rsidRDefault="00617E5E" w:rsidP="002D4987">
            <w:pPr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2699" w:type="dxa"/>
          </w:tcPr>
          <w:p w14:paraId="11956AE9" w14:textId="2AE9E761" w:rsidR="002D4987" w:rsidRPr="002D4987" w:rsidRDefault="00617E5E" w:rsidP="002D4987">
            <w:pPr>
              <w:rPr>
                <w:color w:val="auto"/>
              </w:rPr>
            </w:pPr>
            <w:r>
              <w:rPr>
                <w:color w:val="auto"/>
              </w:rPr>
              <w:t>Human Resources</w:t>
            </w:r>
          </w:p>
        </w:tc>
        <w:tc>
          <w:tcPr>
            <w:tcW w:w="1891" w:type="dxa"/>
          </w:tcPr>
          <w:p w14:paraId="2C3334BA" w14:textId="4F349665" w:rsidR="002D4987" w:rsidRPr="002D4987" w:rsidRDefault="00617E5E" w:rsidP="002D4987">
            <w:pPr>
              <w:rPr>
                <w:color w:val="auto"/>
              </w:rPr>
            </w:pPr>
            <w:r>
              <w:rPr>
                <w:color w:val="auto"/>
              </w:rPr>
              <w:t>Reports To</w:t>
            </w:r>
          </w:p>
        </w:tc>
        <w:tc>
          <w:tcPr>
            <w:tcW w:w="2785" w:type="dxa"/>
          </w:tcPr>
          <w:p w14:paraId="437A935E" w14:textId="6523591E" w:rsidR="002D4987" w:rsidRPr="002D4987" w:rsidRDefault="00B17A66" w:rsidP="002D4987">
            <w:pPr>
              <w:rPr>
                <w:color w:val="auto"/>
              </w:rPr>
            </w:pPr>
            <w:r>
              <w:rPr>
                <w:color w:val="auto"/>
              </w:rPr>
              <w:t>Human Resources</w:t>
            </w:r>
            <w:r w:rsidR="00617E5E">
              <w:rPr>
                <w:color w:val="auto"/>
              </w:rPr>
              <w:t xml:space="preserve"> Director</w:t>
            </w:r>
          </w:p>
        </w:tc>
      </w:tr>
      <w:tr w:rsidR="002D4987" w:rsidRPr="002D4987" w14:paraId="696222CD" w14:textId="77777777" w:rsidTr="00CC3047">
        <w:tc>
          <w:tcPr>
            <w:tcW w:w="1975" w:type="dxa"/>
          </w:tcPr>
          <w:p w14:paraId="1CCC3BF8" w14:textId="197C31F0" w:rsidR="002D4987" w:rsidRPr="002D4987" w:rsidRDefault="00617E5E" w:rsidP="002D4987">
            <w:pPr>
              <w:rPr>
                <w:color w:val="auto"/>
              </w:rPr>
            </w:pPr>
            <w:r>
              <w:rPr>
                <w:color w:val="auto"/>
              </w:rPr>
              <w:t xml:space="preserve">FLSA </w:t>
            </w:r>
            <w:r w:rsidR="009761D1">
              <w:rPr>
                <w:color w:val="auto"/>
              </w:rPr>
              <w:t>Classification</w:t>
            </w:r>
          </w:p>
        </w:tc>
        <w:tc>
          <w:tcPr>
            <w:tcW w:w="2699" w:type="dxa"/>
          </w:tcPr>
          <w:p w14:paraId="62255B7A" w14:textId="64E5CE4A" w:rsidR="002D4987" w:rsidRPr="002D4987" w:rsidRDefault="00617E5E" w:rsidP="002D4987">
            <w:pPr>
              <w:rPr>
                <w:color w:val="auto"/>
              </w:rPr>
            </w:pPr>
            <w:r>
              <w:rPr>
                <w:color w:val="auto"/>
              </w:rPr>
              <w:t>Non-Exempt</w:t>
            </w:r>
          </w:p>
        </w:tc>
        <w:tc>
          <w:tcPr>
            <w:tcW w:w="1891" w:type="dxa"/>
          </w:tcPr>
          <w:p w14:paraId="4E3354F9" w14:textId="77777777" w:rsidR="002D4987" w:rsidRPr="002D4987" w:rsidRDefault="002D4987" w:rsidP="002D4987">
            <w:pPr>
              <w:rPr>
                <w:color w:val="auto"/>
              </w:rPr>
            </w:pPr>
            <w:r w:rsidRPr="002D4987">
              <w:rPr>
                <w:color w:val="auto"/>
              </w:rPr>
              <w:t>Effective Date</w:t>
            </w:r>
          </w:p>
        </w:tc>
        <w:tc>
          <w:tcPr>
            <w:tcW w:w="2785" w:type="dxa"/>
          </w:tcPr>
          <w:p w14:paraId="224FC5C0" w14:textId="1C6C960F" w:rsidR="002D4987" w:rsidRPr="002D4987" w:rsidRDefault="00195061" w:rsidP="002D4987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17A66">
              <w:rPr>
                <w:color w:val="auto"/>
              </w:rPr>
              <w:t>/21/23 (New)</w:t>
            </w:r>
          </w:p>
        </w:tc>
      </w:tr>
      <w:tr w:rsidR="002D4987" w:rsidRPr="002D4987" w14:paraId="4B5A3EE8" w14:textId="77777777" w:rsidTr="00CC3047">
        <w:tc>
          <w:tcPr>
            <w:tcW w:w="1975" w:type="dxa"/>
          </w:tcPr>
          <w:p w14:paraId="74DDFA52" w14:textId="504176EF" w:rsidR="002D4987" w:rsidRPr="002D4987" w:rsidRDefault="009761D1" w:rsidP="002D4987">
            <w:pPr>
              <w:rPr>
                <w:color w:val="auto"/>
              </w:rPr>
            </w:pPr>
            <w:r>
              <w:rPr>
                <w:color w:val="auto"/>
              </w:rPr>
              <w:t>EEOC Classification</w:t>
            </w:r>
          </w:p>
        </w:tc>
        <w:tc>
          <w:tcPr>
            <w:tcW w:w="2699" w:type="dxa"/>
          </w:tcPr>
          <w:p w14:paraId="02D9128E" w14:textId="6A78451B" w:rsidR="002D4987" w:rsidRPr="002D4987" w:rsidRDefault="00CA2974" w:rsidP="002D4987">
            <w:pPr>
              <w:rPr>
                <w:color w:val="auto"/>
              </w:rPr>
            </w:pPr>
            <w:r>
              <w:rPr>
                <w:color w:val="auto"/>
              </w:rPr>
              <w:t>Administrative Support</w:t>
            </w:r>
          </w:p>
        </w:tc>
        <w:tc>
          <w:tcPr>
            <w:tcW w:w="1891" w:type="dxa"/>
          </w:tcPr>
          <w:p w14:paraId="5CA98150" w14:textId="77777777" w:rsidR="002D4987" w:rsidRPr="002D4987" w:rsidRDefault="002D4987" w:rsidP="002D4987">
            <w:pPr>
              <w:rPr>
                <w:color w:val="auto"/>
              </w:rPr>
            </w:pPr>
            <w:r w:rsidRPr="002D4987">
              <w:rPr>
                <w:color w:val="auto"/>
              </w:rPr>
              <w:t>Salary Grade</w:t>
            </w:r>
          </w:p>
        </w:tc>
        <w:tc>
          <w:tcPr>
            <w:tcW w:w="2785" w:type="dxa"/>
          </w:tcPr>
          <w:p w14:paraId="6DD2CEF3" w14:textId="70F30866" w:rsidR="002D4987" w:rsidRPr="002D4987" w:rsidRDefault="00DD2454" w:rsidP="002D4987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F50C4">
              <w:rPr>
                <w:color w:val="auto"/>
              </w:rPr>
              <w:t>6</w:t>
            </w:r>
          </w:p>
        </w:tc>
      </w:tr>
    </w:tbl>
    <w:p w14:paraId="725863E5" w14:textId="77777777" w:rsidR="00F61080" w:rsidRDefault="00F61080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B740A84" w14:textId="35074114" w:rsidR="00E4480D" w:rsidRPr="00B17A66" w:rsidRDefault="00BD77ED" w:rsidP="00BD77E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494949"/>
        </w:rPr>
      </w:pPr>
      <w:r w:rsidRPr="00B17A66">
        <w:rPr>
          <w:rFonts w:asciiTheme="minorHAnsi" w:hAnsiTheme="minorHAnsi" w:cstheme="minorHAnsi"/>
          <w:b/>
          <w:bCs/>
        </w:rPr>
        <w:t>GENERAL PURPOSE</w:t>
      </w:r>
      <w:r w:rsidR="0084061D" w:rsidRPr="00B17A66">
        <w:rPr>
          <w:rFonts w:asciiTheme="minorHAnsi" w:hAnsiTheme="minorHAnsi" w:cstheme="minorHAnsi"/>
          <w:b/>
          <w:bCs/>
        </w:rPr>
        <w:t>:</w:t>
      </w:r>
      <w:r w:rsidR="00AE117B" w:rsidRPr="00B17A66">
        <w:rPr>
          <w:rFonts w:asciiTheme="minorHAnsi" w:eastAsia="Times New Roman" w:hAnsiTheme="minorHAnsi" w:cstheme="minorHAnsi"/>
          <w:b/>
          <w:bCs/>
          <w:color w:val="494949"/>
        </w:rPr>
        <w:t xml:space="preserve"> </w:t>
      </w:r>
    </w:p>
    <w:p w14:paraId="159FD3E0" w14:textId="000D8AE8" w:rsidR="009618A1" w:rsidRPr="00B17A66" w:rsidRDefault="00AE117B" w:rsidP="00BD77ED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B17A66">
        <w:rPr>
          <w:rFonts w:asciiTheme="minorHAnsi" w:hAnsiTheme="minorHAnsi" w:cstheme="minorHAnsi"/>
        </w:rPr>
        <w:t xml:space="preserve">The </w:t>
      </w:r>
      <w:r w:rsidR="00586762" w:rsidRPr="00B17A66">
        <w:rPr>
          <w:rFonts w:asciiTheme="minorHAnsi" w:hAnsiTheme="minorHAnsi" w:cstheme="minorHAnsi"/>
        </w:rPr>
        <w:t>human resources</w:t>
      </w:r>
      <w:r w:rsidR="00144BBD" w:rsidRPr="00B17A66">
        <w:rPr>
          <w:rFonts w:asciiTheme="minorHAnsi" w:hAnsiTheme="minorHAnsi" w:cstheme="minorHAnsi"/>
        </w:rPr>
        <w:t xml:space="preserve"> specialist</w:t>
      </w:r>
      <w:r w:rsidR="00586762" w:rsidRPr="00B17A66">
        <w:rPr>
          <w:rFonts w:asciiTheme="minorHAnsi" w:hAnsiTheme="minorHAnsi" w:cstheme="minorHAnsi"/>
        </w:rPr>
        <w:t xml:space="preserve"> </w:t>
      </w:r>
      <w:r w:rsidRPr="00B17A66">
        <w:rPr>
          <w:rFonts w:asciiTheme="minorHAnsi" w:hAnsiTheme="minorHAnsi" w:cstheme="minorHAnsi"/>
        </w:rPr>
        <w:t xml:space="preserve">is responsible for </w:t>
      </w:r>
      <w:r w:rsidR="00FA1AFC" w:rsidRPr="00B17A66">
        <w:rPr>
          <w:rFonts w:asciiTheme="minorHAnsi" w:hAnsiTheme="minorHAnsi" w:cstheme="minorHAnsi"/>
        </w:rPr>
        <w:t>administrative and technical human resources support</w:t>
      </w:r>
      <w:r w:rsidR="00F2774A" w:rsidRPr="00B17A66">
        <w:rPr>
          <w:rFonts w:asciiTheme="minorHAnsi" w:hAnsiTheme="minorHAnsi" w:cstheme="minorHAnsi"/>
        </w:rPr>
        <w:t xml:space="preserve">.  This includes </w:t>
      </w:r>
      <w:r w:rsidRPr="00B17A66">
        <w:rPr>
          <w:rFonts w:asciiTheme="minorHAnsi" w:hAnsiTheme="minorHAnsi" w:cstheme="minorHAnsi"/>
        </w:rPr>
        <w:t xml:space="preserve">assisting with the administration of all benefits and retirement programs, including medical, dental, vision, life insurance, short- and long-term disability, </w:t>
      </w:r>
      <w:r w:rsidR="00D22208">
        <w:rPr>
          <w:rFonts w:asciiTheme="minorHAnsi" w:hAnsiTheme="minorHAnsi" w:cstheme="minorHAnsi"/>
        </w:rPr>
        <w:t>and other benefit plans</w:t>
      </w:r>
      <w:r w:rsidRPr="00B17A66">
        <w:rPr>
          <w:rFonts w:asciiTheme="minorHAnsi" w:hAnsiTheme="minorHAnsi" w:cstheme="minorHAnsi"/>
        </w:rPr>
        <w:t>.</w:t>
      </w:r>
      <w:r w:rsidR="00BD77ED" w:rsidRPr="00B17A66">
        <w:rPr>
          <w:rFonts w:asciiTheme="minorHAnsi" w:hAnsiTheme="minorHAnsi" w:cstheme="minorHAnsi"/>
        </w:rPr>
        <w:t xml:space="preserve">  This position will also assist with other day to day activities including </w:t>
      </w:r>
      <w:r w:rsidR="003636FA" w:rsidRPr="00B17A66">
        <w:rPr>
          <w:rFonts w:asciiTheme="minorHAnsi" w:hAnsiTheme="minorHAnsi" w:cstheme="minorHAnsi"/>
        </w:rPr>
        <w:t xml:space="preserve">recruitment and processing of new employees, </w:t>
      </w:r>
      <w:r w:rsidR="00586762" w:rsidRPr="00B17A66">
        <w:rPr>
          <w:rFonts w:asciiTheme="minorHAnsi" w:hAnsiTheme="minorHAnsi" w:cstheme="minorHAnsi"/>
        </w:rPr>
        <w:t xml:space="preserve">new </w:t>
      </w:r>
      <w:r w:rsidR="00BD77ED" w:rsidRPr="00B17A66">
        <w:rPr>
          <w:rFonts w:asciiTheme="minorHAnsi" w:hAnsiTheme="minorHAnsi" w:cstheme="minorHAnsi"/>
        </w:rPr>
        <w:t>employee orientation, employee engagement</w:t>
      </w:r>
      <w:r w:rsidR="00586762" w:rsidRPr="00B17A66">
        <w:rPr>
          <w:rFonts w:asciiTheme="minorHAnsi" w:hAnsiTheme="minorHAnsi" w:cstheme="minorHAnsi"/>
        </w:rPr>
        <w:t xml:space="preserve"> activities</w:t>
      </w:r>
      <w:r w:rsidR="00BD77ED" w:rsidRPr="00B17A66">
        <w:rPr>
          <w:rFonts w:asciiTheme="minorHAnsi" w:hAnsiTheme="minorHAnsi" w:cstheme="minorHAnsi"/>
        </w:rPr>
        <w:t>, work comp</w:t>
      </w:r>
      <w:r w:rsidR="00F2774A" w:rsidRPr="00B17A66">
        <w:rPr>
          <w:rFonts w:asciiTheme="minorHAnsi" w:hAnsiTheme="minorHAnsi" w:cstheme="minorHAnsi"/>
        </w:rPr>
        <w:t xml:space="preserve">, </w:t>
      </w:r>
      <w:r w:rsidR="00BD77ED" w:rsidRPr="00B17A66">
        <w:rPr>
          <w:rFonts w:asciiTheme="minorHAnsi" w:hAnsiTheme="minorHAnsi" w:cstheme="minorHAnsi"/>
        </w:rPr>
        <w:t>leave of absence program</w:t>
      </w:r>
      <w:r w:rsidR="00F2774A" w:rsidRPr="00B17A66">
        <w:rPr>
          <w:rFonts w:asciiTheme="minorHAnsi" w:hAnsiTheme="minorHAnsi" w:cstheme="minorHAnsi"/>
        </w:rPr>
        <w:t>s and office administration.</w:t>
      </w:r>
    </w:p>
    <w:p w14:paraId="447BDD33" w14:textId="77777777" w:rsidR="00BD77ED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C70C781" w14:textId="611D84C8" w:rsidR="007929C9" w:rsidRPr="00B17A66" w:rsidRDefault="001820F2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7A66">
        <w:rPr>
          <w:rFonts w:asciiTheme="minorHAnsi" w:hAnsiTheme="minorHAnsi" w:cstheme="minorHAnsi"/>
          <w:b/>
          <w:bCs/>
        </w:rPr>
        <w:t>PRIMARY DUTIES AND RESPONSIBILITIES:</w:t>
      </w:r>
    </w:p>
    <w:p w14:paraId="6D4017BA" w14:textId="05C0A5F5" w:rsidR="001820F2" w:rsidRPr="00B17A66" w:rsidRDefault="001820F2" w:rsidP="00BD77ED">
      <w:p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The following duties are not intended to serve as a comprehensive list of all duties performed by the individual in this classification, only a representative summary of the primary duties an</w:t>
      </w:r>
      <w:r w:rsidR="00403BD9" w:rsidRPr="00B17A66">
        <w:rPr>
          <w:rFonts w:asciiTheme="minorHAnsi" w:hAnsiTheme="minorHAnsi" w:cstheme="minorHAnsi"/>
          <w:iCs/>
        </w:rPr>
        <w:t>d</w:t>
      </w:r>
      <w:r w:rsidRPr="00B17A66">
        <w:rPr>
          <w:rFonts w:asciiTheme="minorHAnsi" w:hAnsiTheme="minorHAnsi" w:cstheme="minorHAnsi"/>
          <w:iCs/>
        </w:rPr>
        <w:t xml:space="preserve"> responsibilities.  Incumbent(s) may not be required to perform all duties listed and may be required to perform additional, position-specific duties as assigned.</w:t>
      </w:r>
    </w:p>
    <w:p w14:paraId="5F659724" w14:textId="77777777" w:rsidR="00BD77ED" w:rsidRPr="00B17A66" w:rsidRDefault="00BD77ED" w:rsidP="00BD77ED">
      <w:pPr>
        <w:spacing w:after="0" w:line="240" w:lineRule="auto"/>
        <w:rPr>
          <w:rFonts w:asciiTheme="minorHAnsi" w:hAnsiTheme="minorHAnsi" w:cstheme="minorHAnsi"/>
          <w:iCs/>
        </w:rPr>
      </w:pPr>
    </w:p>
    <w:p w14:paraId="62BD4D21" w14:textId="3943BFF6" w:rsidR="00B40991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  <w:r w:rsidRPr="00B17A66">
        <w:rPr>
          <w:rFonts w:asciiTheme="minorHAnsi" w:hAnsiTheme="minorHAnsi" w:cstheme="minorHAnsi"/>
          <w:b/>
          <w:bCs/>
          <w:iCs/>
          <w:u w:val="single"/>
        </w:rPr>
        <w:t>Benefits Administration</w:t>
      </w:r>
      <w:r w:rsidR="00EC7DA0" w:rsidRPr="00B17A66">
        <w:rPr>
          <w:rFonts w:asciiTheme="minorHAnsi" w:hAnsiTheme="minorHAnsi" w:cstheme="minorHAnsi"/>
          <w:b/>
          <w:bCs/>
          <w:iCs/>
          <w:u w:val="single"/>
        </w:rPr>
        <w:t xml:space="preserve"> (40% of time)</w:t>
      </w:r>
    </w:p>
    <w:p w14:paraId="1FA68B29" w14:textId="1D64DD6D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 xml:space="preserve">Administration of employee benefits including medical, dental, vision, life, deferred compensation, HSA/FSA, </w:t>
      </w:r>
      <w:r w:rsidR="006E2499" w:rsidRPr="00B17A66">
        <w:rPr>
          <w:rFonts w:asciiTheme="minorHAnsi" w:hAnsiTheme="minorHAnsi" w:cstheme="minorHAnsi"/>
          <w:iCs/>
        </w:rPr>
        <w:t>pension,</w:t>
      </w:r>
      <w:r w:rsidR="00F20E3C" w:rsidRPr="00B17A66">
        <w:rPr>
          <w:rFonts w:asciiTheme="minorHAnsi" w:hAnsiTheme="minorHAnsi" w:cstheme="minorHAnsi"/>
          <w:iCs/>
        </w:rPr>
        <w:t xml:space="preserve"> and COBRA.</w:t>
      </w:r>
    </w:p>
    <w:p w14:paraId="3BBA4FB5" w14:textId="167511E7" w:rsidR="004673F7" w:rsidRPr="00B17A66" w:rsidRDefault="004673F7" w:rsidP="004673F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Assists with wellness initiatives.</w:t>
      </w:r>
    </w:p>
    <w:p w14:paraId="06D5CB4E" w14:textId="2C46A490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Administers the tuition reimbursement program.</w:t>
      </w:r>
    </w:p>
    <w:p w14:paraId="0946DDFE" w14:textId="5E6FE484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Coordinates open enrollment.</w:t>
      </w:r>
    </w:p>
    <w:p w14:paraId="4D3284DD" w14:textId="41998649" w:rsidR="00F20E3C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 xml:space="preserve">Complies with ACA </w:t>
      </w:r>
      <w:r w:rsidR="00F20E3C" w:rsidRPr="00B17A66">
        <w:rPr>
          <w:rFonts w:asciiTheme="minorHAnsi" w:hAnsiTheme="minorHAnsi" w:cstheme="minorHAnsi"/>
          <w:iCs/>
        </w:rPr>
        <w:t>reporting requirements.</w:t>
      </w:r>
    </w:p>
    <w:p w14:paraId="059E8F0C" w14:textId="772A47C4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Reconcile monthly invoices to employee benefits selections.</w:t>
      </w:r>
    </w:p>
    <w:p w14:paraId="4E7CC973" w14:textId="7EDEA40C" w:rsidR="00D17EDE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Ensures the accuracy of all benefits enrollments in the HRIS to provide vendors with accurate eligibility information.</w:t>
      </w:r>
    </w:p>
    <w:p w14:paraId="3E485CAA" w14:textId="031066E8" w:rsidR="00C13323" w:rsidRPr="00B17A66" w:rsidRDefault="00C13323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Assists with the implementation and update of information in the HRIS system.</w:t>
      </w:r>
    </w:p>
    <w:p w14:paraId="37A5A17A" w14:textId="77777777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Assists employees regarding benefits claim issues and plan changes.</w:t>
      </w:r>
    </w:p>
    <w:p w14:paraId="6830A60D" w14:textId="77777777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Distributes all benefits enrollment materials and determines eligibility.</w:t>
      </w:r>
    </w:p>
    <w:p w14:paraId="2D5F2DAB" w14:textId="77777777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Enrolls employees with carriers and process life status changes.</w:t>
      </w:r>
    </w:p>
    <w:p w14:paraId="2C100F6F" w14:textId="66A0B9D6" w:rsidR="00D17EDE" w:rsidRPr="00B17A66" w:rsidRDefault="00D17EDE" w:rsidP="00BD77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 xml:space="preserve">Responds </w:t>
      </w:r>
      <w:r w:rsidR="00C46556" w:rsidRPr="00B17A66">
        <w:rPr>
          <w:rFonts w:asciiTheme="minorHAnsi" w:hAnsiTheme="minorHAnsi" w:cstheme="minorHAnsi"/>
          <w:iCs/>
        </w:rPr>
        <w:t xml:space="preserve">accurately and timely </w:t>
      </w:r>
      <w:r w:rsidRPr="00B17A66">
        <w:rPr>
          <w:rFonts w:asciiTheme="minorHAnsi" w:hAnsiTheme="minorHAnsi" w:cstheme="minorHAnsi"/>
          <w:iCs/>
        </w:rPr>
        <w:t>to benefits inquiries from managers and employees on plan provisions, benefits enrollments, status changes and other general inquiries.</w:t>
      </w:r>
    </w:p>
    <w:p w14:paraId="5D1B1699" w14:textId="6F16882A" w:rsidR="00B17A66" w:rsidRPr="000D435C" w:rsidRDefault="00D17EDE" w:rsidP="00B17A66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/>
          <w:bCs/>
          <w:iCs/>
          <w:u w:val="single"/>
        </w:rPr>
      </w:pPr>
      <w:r w:rsidRPr="00B17A66">
        <w:rPr>
          <w:rFonts w:asciiTheme="minorHAnsi" w:hAnsiTheme="minorHAnsi" w:cstheme="minorHAnsi"/>
          <w:iCs/>
        </w:rPr>
        <w:t>Responds to 457 and L</w:t>
      </w:r>
      <w:r w:rsidR="000D435C">
        <w:rPr>
          <w:rFonts w:asciiTheme="minorHAnsi" w:hAnsiTheme="minorHAnsi" w:cstheme="minorHAnsi"/>
          <w:iCs/>
        </w:rPr>
        <w:t>AGER’</w:t>
      </w:r>
      <w:r w:rsidRPr="00B17A66">
        <w:rPr>
          <w:rFonts w:asciiTheme="minorHAnsi" w:hAnsiTheme="minorHAnsi" w:cstheme="minorHAnsi"/>
          <w:iCs/>
        </w:rPr>
        <w:t>s inquiries from managers and employees relating to enrollments, plan changes and contribution amounts. Manages the annual catch-up contribution enrollment.</w:t>
      </w:r>
    </w:p>
    <w:p w14:paraId="74E8DBD2" w14:textId="4B525990" w:rsidR="000D435C" w:rsidRPr="00B17A66" w:rsidRDefault="000D435C" w:rsidP="00B17A66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/>
          <w:bCs/>
          <w:iCs/>
          <w:u w:val="single"/>
        </w:rPr>
      </w:pPr>
      <w:r>
        <w:rPr>
          <w:rFonts w:asciiTheme="minorHAnsi" w:hAnsiTheme="minorHAnsi" w:cstheme="minorHAnsi"/>
          <w:iCs/>
        </w:rPr>
        <w:t>Reconciles all bills, monthly.</w:t>
      </w:r>
    </w:p>
    <w:p w14:paraId="2CAE7EE1" w14:textId="77777777" w:rsidR="0003100E" w:rsidRDefault="0003100E" w:rsidP="00B17A66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</w:p>
    <w:p w14:paraId="639E39DC" w14:textId="5D33F0EC" w:rsidR="00D17EDE" w:rsidRPr="00B17A66" w:rsidRDefault="00BD77ED" w:rsidP="00B17A66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  <w:r w:rsidRPr="00B17A66">
        <w:rPr>
          <w:rFonts w:asciiTheme="minorHAnsi" w:hAnsiTheme="minorHAnsi" w:cstheme="minorHAnsi"/>
          <w:b/>
          <w:bCs/>
          <w:iCs/>
          <w:u w:val="single"/>
        </w:rPr>
        <w:t>Lea</w:t>
      </w:r>
      <w:r w:rsidR="00B17A66">
        <w:rPr>
          <w:rFonts w:asciiTheme="minorHAnsi" w:hAnsiTheme="minorHAnsi" w:cstheme="minorHAnsi"/>
          <w:b/>
          <w:bCs/>
          <w:iCs/>
          <w:u w:val="single"/>
        </w:rPr>
        <w:t>v</w:t>
      </w:r>
      <w:r w:rsidRPr="00B17A66">
        <w:rPr>
          <w:rFonts w:asciiTheme="minorHAnsi" w:hAnsiTheme="minorHAnsi" w:cstheme="minorHAnsi"/>
          <w:b/>
          <w:bCs/>
          <w:iCs/>
          <w:u w:val="single"/>
        </w:rPr>
        <w:t>e</w:t>
      </w:r>
      <w:r w:rsidR="001720ED" w:rsidRPr="00B17A66">
        <w:rPr>
          <w:rFonts w:asciiTheme="minorHAnsi" w:hAnsiTheme="minorHAnsi" w:cstheme="minorHAnsi"/>
          <w:b/>
          <w:bCs/>
          <w:iCs/>
          <w:u w:val="single"/>
        </w:rPr>
        <w:t xml:space="preserve"> and Work Comp Administration</w:t>
      </w:r>
      <w:r w:rsidR="00131E58" w:rsidRPr="00B17A66">
        <w:rPr>
          <w:rFonts w:asciiTheme="minorHAnsi" w:hAnsiTheme="minorHAnsi" w:cstheme="minorHAnsi"/>
          <w:b/>
          <w:bCs/>
          <w:iCs/>
          <w:u w:val="single"/>
        </w:rPr>
        <w:t xml:space="preserve"> (</w:t>
      </w:r>
      <w:r w:rsidR="00EC7DA0" w:rsidRPr="00B17A66">
        <w:rPr>
          <w:rFonts w:asciiTheme="minorHAnsi" w:hAnsiTheme="minorHAnsi" w:cstheme="minorHAnsi"/>
          <w:b/>
          <w:bCs/>
          <w:iCs/>
          <w:u w:val="single"/>
        </w:rPr>
        <w:t>10</w:t>
      </w:r>
      <w:r w:rsidR="00131E58" w:rsidRPr="00B17A66">
        <w:rPr>
          <w:rFonts w:asciiTheme="minorHAnsi" w:hAnsiTheme="minorHAnsi" w:cstheme="minorHAnsi"/>
          <w:b/>
          <w:bCs/>
          <w:iCs/>
          <w:u w:val="single"/>
        </w:rPr>
        <w:t>% of time)</w:t>
      </w:r>
    </w:p>
    <w:p w14:paraId="0BE9D385" w14:textId="1B133DF4" w:rsidR="00F20E3C" w:rsidRPr="00B17A66" w:rsidRDefault="00D17EDE" w:rsidP="00B17A66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Processes and administers all leave-of-absence requests</w:t>
      </w:r>
      <w:r w:rsidR="00BD77ED" w:rsidRPr="00B17A66">
        <w:rPr>
          <w:rFonts w:asciiTheme="minorHAnsi" w:hAnsiTheme="minorHAnsi" w:cstheme="minorHAnsi"/>
          <w:iCs/>
        </w:rPr>
        <w:t xml:space="preserve"> including FMLA</w:t>
      </w:r>
    </w:p>
    <w:p w14:paraId="4C3C6759" w14:textId="47EA6A51" w:rsidR="00BD77ED" w:rsidRPr="00B17A66" w:rsidRDefault="00BD77ED" w:rsidP="00BD77E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 xml:space="preserve">Communicates with employees according to </w:t>
      </w:r>
      <w:r w:rsidR="00CC2693">
        <w:rPr>
          <w:rFonts w:asciiTheme="minorHAnsi" w:hAnsiTheme="minorHAnsi" w:cstheme="minorHAnsi"/>
          <w:iCs/>
        </w:rPr>
        <w:t xml:space="preserve">state and </w:t>
      </w:r>
      <w:r w:rsidRPr="00B17A66">
        <w:rPr>
          <w:rFonts w:asciiTheme="minorHAnsi" w:hAnsiTheme="minorHAnsi" w:cstheme="minorHAnsi"/>
          <w:iCs/>
        </w:rPr>
        <w:t>federal guidelines</w:t>
      </w:r>
      <w:r w:rsidR="00CC2693">
        <w:rPr>
          <w:rFonts w:asciiTheme="minorHAnsi" w:hAnsiTheme="minorHAnsi" w:cstheme="minorHAnsi"/>
          <w:iCs/>
        </w:rPr>
        <w:t>.</w:t>
      </w:r>
    </w:p>
    <w:p w14:paraId="11FB5F5A" w14:textId="24E724DC" w:rsidR="00D17EDE" w:rsidRPr="00B17A66" w:rsidRDefault="00F20E3C" w:rsidP="00BD77E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Processes paperwork for disability</w:t>
      </w:r>
      <w:r w:rsidR="00BD77ED" w:rsidRPr="00B17A66">
        <w:rPr>
          <w:rFonts w:asciiTheme="minorHAnsi" w:hAnsiTheme="minorHAnsi" w:cstheme="minorHAnsi"/>
          <w:iCs/>
        </w:rPr>
        <w:t>, as needed</w:t>
      </w:r>
      <w:r w:rsidR="00C91AD3">
        <w:rPr>
          <w:rFonts w:asciiTheme="minorHAnsi" w:hAnsiTheme="minorHAnsi" w:cstheme="minorHAnsi"/>
          <w:iCs/>
        </w:rPr>
        <w:t>.</w:t>
      </w:r>
    </w:p>
    <w:p w14:paraId="4CDF02C8" w14:textId="77777777" w:rsidR="006B76C0" w:rsidRPr="00B17A66" w:rsidRDefault="006B76C0" w:rsidP="006B76C0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Assists with coordination of work comp injury processes.</w:t>
      </w:r>
    </w:p>
    <w:p w14:paraId="12F7F0D6" w14:textId="69320534" w:rsidR="006B76C0" w:rsidRPr="00B17A66" w:rsidRDefault="006B76C0" w:rsidP="006B76C0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Participates in safety meetings as requested.</w:t>
      </w:r>
    </w:p>
    <w:p w14:paraId="0513D14B" w14:textId="77777777" w:rsidR="00BD77ED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</w:p>
    <w:p w14:paraId="1C91DDD1" w14:textId="1433564C" w:rsidR="00470DE0" w:rsidRPr="00B17A66" w:rsidRDefault="00470DE0" w:rsidP="00470DE0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  <w:r w:rsidRPr="00B17A66">
        <w:rPr>
          <w:rFonts w:asciiTheme="minorHAnsi" w:hAnsiTheme="minorHAnsi" w:cstheme="minorHAnsi"/>
          <w:b/>
          <w:bCs/>
          <w:iCs/>
          <w:u w:val="single"/>
        </w:rPr>
        <w:t>Employment Coordination</w:t>
      </w:r>
      <w:r w:rsidR="00131E58" w:rsidRPr="00B17A66">
        <w:rPr>
          <w:rFonts w:asciiTheme="minorHAnsi" w:hAnsiTheme="minorHAnsi" w:cstheme="minorHAnsi"/>
          <w:b/>
          <w:bCs/>
          <w:iCs/>
          <w:u w:val="single"/>
        </w:rPr>
        <w:t xml:space="preserve"> (</w:t>
      </w:r>
      <w:r w:rsidR="00714EC1" w:rsidRPr="00B17A66">
        <w:rPr>
          <w:rFonts w:asciiTheme="minorHAnsi" w:hAnsiTheme="minorHAnsi" w:cstheme="minorHAnsi"/>
          <w:b/>
          <w:bCs/>
          <w:iCs/>
          <w:u w:val="single"/>
        </w:rPr>
        <w:t>20</w:t>
      </w:r>
      <w:r w:rsidR="00131E58" w:rsidRPr="00B17A66">
        <w:rPr>
          <w:rFonts w:asciiTheme="minorHAnsi" w:hAnsiTheme="minorHAnsi" w:cstheme="minorHAnsi"/>
          <w:b/>
          <w:bCs/>
          <w:iCs/>
          <w:u w:val="single"/>
        </w:rPr>
        <w:t>% of time)</w:t>
      </w:r>
    </w:p>
    <w:p w14:paraId="067BC097" w14:textId="77777777" w:rsidR="00470DE0" w:rsidRPr="00B17A66" w:rsidRDefault="00470DE0" w:rsidP="00470DE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Places job postings for open positions as requested.</w:t>
      </w:r>
    </w:p>
    <w:p w14:paraId="12B73E97" w14:textId="60123655" w:rsidR="0035463B" w:rsidRPr="00B17A66" w:rsidRDefault="0035463B" w:rsidP="00470DE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Assists with the preparation of offer letters and communication to new employees relating to their orientation and start date.</w:t>
      </w:r>
    </w:p>
    <w:p w14:paraId="54981FB8" w14:textId="3CBF63E2" w:rsidR="00470DE0" w:rsidRPr="00B17A66" w:rsidRDefault="00470DE0" w:rsidP="00470DE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Processes new employee paperwork, E-verify, I-9, background checks, drug screens</w:t>
      </w:r>
      <w:r w:rsidR="00856702" w:rsidRPr="00B17A66">
        <w:rPr>
          <w:rFonts w:asciiTheme="minorHAnsi" w:hAnsiTheme="minorHAnsi" w:cstheme="minorHAnsi"/>
          <w:iCs/>
        </w:rPr>
        <w:t xml:space="preserve">, DSS </w:t>
      </w:r>
      <w:r w:rsidRPr="00B17A66">
        <w:rPr>
          <w:rFonts w:asciiTheme="minorHAnsi" w:hAnsiTheme="minorHAnsi" w:cstheme="minorHAnsi"/>
          <w:iCs/>
        </w:rPr>
        <w:t>and other requirements</w:t>
      </w:r>
      <w:r w:rsidR="00CC2693">
        <w:rPr>
          <w:rFonts w:asciiTheme="minorHAnsi" w:hAnsiTheme="minorHAnsi" w:cstheme="minorHAnsi"/>
          <w:iCs/>
        </w:rPr>
        <w:t>, as required.</w:t>
      </w:r>
    </w:p>
    <w:p w14:paraId="6B05BEE4" w14:textId="415E91F8" w:rsidR="00470DE0" w:rsidRPr="00B17A66" w:rsidRDefault="00470DE0" w:rsidP="00470DE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 xml:space="preserve">Assists with </w:t>
      </w:r>
      <w:r w:rsidR="00131E58" w:rsidRPr="00B17A66">
        <w:rPr>
          <w:rFonts w:asciiTheme="minorHAnsi" w:hAnsiTheme="minorHAnsi" w:cstheme="minorHAnsi"/>
          <w:iCs/>
        </w:rPr>
        <w:t xml:space="preserve">organization-wide </w:t>
      </w:r>
      <w:r w:rsidRPr="00B17A66">
        <w:rPr>
          <w:rFonts w:asciiTheme="minorHAnsi" w:hAnsiTheme="minorHAnsi" w:cstheme="minorHAnsi"/>
          <w:iCs/>
        </w:rPr>
        <w:t>new</w:t>
      </w:r>
      <w:r w:rsidR="00131E58" w:rsidRPr="00B17A66">
        <w:rPr>
          <w:rFonts w:asciiTheme="minorHAnsi" w:hAnsiTheme="minorHAnsi" w:cstheme="minorHAnsi"/>
          <w:iCs/>
        </w:rPr>
        <w:t xml:space="preserve"> </w:t>
      </w:r>
      <w:r w:rsidRPr="00B17A66">
        <w:rPr>
          <w:rFonts w:asciiTheme="minorHAnsi" w:hAnsiTheme="minorHAnsi" w:cstheme="minorHAnsi"/>
          <w:iCs/>
        </w:rPr>
        <w:t>hire orientation.</w:t>
      </w:r>
    </w:p>
    <w:p w14:paraId="567923FE" w14:textId="77777777" w:rsidR="00470DE0" w:rsidRPr="00B17A66" w:rsidRDefault="00470DE0" w:rsidP="00470DE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Enters new employee information into appropriate systems.</w:t>
      </w:r>
    </w:p>
    <w:p w14:paraId="60F11A7B" w14:textId="77777777" w:rsidR="00470DE0" w:rsidRPr="00B17A66" w:rsidRDefault="00470DE0" w:rsidP="00BD77ED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</w:p>
    <w:p w14:paraId="41598E78" w14:textId="3F658E73" w:rsidR="000818B6" w:rsidRPr="00B17A66" w:rsidRDefault="000818B6" w:rsidP="00BD77ED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  <w:r w:rsidRPr="00B17A66">
        <w:rPr>
          <w:rFonts w:asciiTheme="minorHAnsi" w:hAnsiTheme="minorHAnsi" w:cstheme="minorHAnsi"/>
          <w:b/>
          <w:bCs/>
          <w:iCs/>
          <w:u w:val="single"/>
        </w:rPr>
        <w:t>Employee Engagement (</w:t>
      </w:r>
      <w:r w:rsidR="00831887" w:rsidRPr="00B17A66">
        <w:rPr>
          <w:rFonts w:asciiTheme="minorHAnsi" w:hAnsiTheme="minorHAnsi" w:cstheme="minorHAnsi"/>
          <w:b/>
          <w:bCs/>
          <w:iCs/>
          <w:u w:val="single"/>
        </w:rPr>
        <w:t>20</w:t>
      </w:r>
      <w:r w:rsidR="00EF4B81" w:rsidRPr="00B17A66">
        <w:rPr>
          <w:rFonts w:asciiTheme="minorHAnsi" w:hAnsiTheme="minorHAnsi" w:cstheme="minorHAnsi"/>
          <w:b/>
          <w:bCs/>
          <w:iCs/>
          <w:u w:val="single"/>
        </w:rPr>
        <w:t>% of time)</w:t>
      </w:r>
    </w:p>
    <w:p w14:paraId="6CCE9D74" w14:textId="4EF113B5" w:rsidR="00EF4B81" w:rsidRPr="00B17A66" w:rsidRDefault="00EF4B81" w:rsidP="00EF4B8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  <w:r w:rsidRPr="00B17A66">
        <w:rPr>
          <w:rFonts w:asciiTheme="minorHAnsi" w:hAnsiTheme="minorHAnsi" w:cstheme="minorHAnsi"/>
          <w:iCs/>
        </w:rPr>
        <w:t>Assists with the development and coordination of employee engagement activities</w:t>
      </w:r>
      <w:r w:rsidR="005C4C2F" w:rsidRPr="00B17A66">
        <w:rPr>
          <w:rFonts w:asciiTheme="minorHAnsi" w:hAnsiTheme="minorHAnsi" w:cstheme="minorHAnsi"/>
          <w:iCs/>
        </w:rPr>
        <w:t>.</w:t>
      </w:r>
    </w:p>
    <w:p w14:paraId="2BC10955" w14:textId="118DECA9" w:rsidR="00EF4B81" w:rsidRPr="00B17A66" w:rsidRDefault="005C4C2F" w:rsidP="00EF4B8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Actively participates on the Employee Experience Team.</w:t>
      </w:r>
    </w:p>
    <w:p w14:paraId="6A097C7E" w14:textId="77777777" w:rsidR="000818B6" w:rsidRPr="00B17A66" w:rsidRDefault="000818B6" w:rsidP="00BD77ED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</w:p>
    <w:p w14:paraId="3385392A" w14:textId="09EBE248" w:rsidR="00D17EDE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  <w:iCs/>
          <w:u w:val="single"/>
        </w:rPr>
      </w:pPr>
      <w:r w:rsidRPr="00B17A66">
        <w:rPr>
          <w:rFonts w:asciiTheme="minorHAnsi" w:hAnsiTheme="minorHAnsi" w:cstheme="minorHAnsi"/>
          <w:b/>
          <w:bCs/>
          <w:iCs/>
          <w:u w:val="single"/>
        </w:rPr>
        <w:t>Office Administration</w:t>
      </w:r>
      <w:r w:rsidR="00131E58" w:rsidRPr="00B17A66">
        <w:rPr>
          <w:rFonts w:asciiTheme="minorHAnsi" w:hAnsiTheme="minorHAnsi" w:cstheme="minorHAnsi"/>
          <w:b/>
          <w:bCs/>
          <w:iCs/>
          <w:u w:val="single"/>
        </w:rPr>
        <w:t xml:space="preserve"> (</w:t>
      </w:r>
      <w:r w:rsidR="00EC7DA0" w:rsidRPr="00B17A66">
        <w:rPr>
          <w:rFonts w:asciiTheme="minorHAnsi" w:hAnsiTheme="minorHAnsi" w:cstheme="minorHAnsi"/>
          <w:b/>
          <w:bCs/>
          <w:iCs/>
          <w:u w:val="single"/>
        </w:rPr>
        <w:t>5% of time)</w:t>
      </w:r>
    </w:p>
    <w:p w14:paraId="20A6AE44" w14:textId="3573DF22" w:rsidR="00B40991" w:rsidRPr="00B17A66" w:rsidRDefault="00B40991" w:rsidP="00BD77E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Completes verification of employment</w:t>
      </w:r>
      <w:r w:rsidR="00F20E3C" w:rsidRPr="00B17A66">
        <w:rPr>
          <w:rFonts w:asciiTheme="minorHAnsi" w:hAnsiTheme="minorHAnsi" w:cstheme="minorHAnsi"/>
          <w:iCs/>
        </w:rPr>
        <w:t>s.</w:t>
      </w:r>
    </w:p>
    <w:p w14:paraId="51D23BFE" w14:textId="5B14AE0E" w:rsidR="00F20E3C" w:rsidRPr="00B17A66" w:rsidRDefault="00F20E3C" w:rsidP="00BD77E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Effectively organizes all documents to ensure records compliance.</w:t>
      </w:r>
    </w:p>
    <w:p w14:paraId="43664612" w14:textId="46BC341A" w:rsidR="00F34A9E" w:rsidRPr="00B17A66" w:rsidRDefault="00F34A9E" w:rsidP="00BD77E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 xml:space="preserve">Coordinates the </w:t>
      </w:r>
      <w:r w:rsidR="00DF1882" w:rsidRPr="00B17A66">
        <w:rPr>
          <w:rFonts w:asciiTheme="minorHAnsi" w:hAnsiTheme="minorHAnsi" w:cstheme="minorHAnsi"/>
          <w:iCs/>
        </w:rPr>
        <w:t xml:space="preserve">purchase and distribution of items in the </w:t>
      </w:r>
      <w:r w:rsidRPr="00B17A66">
        <w:rPr>
          <w:rFonts w:asciiTheme="minorHAnsi" w:hAnsiTheme="minorHAnsi" w:cstheme="minorHAnsi"/>
          <w:iCs/>
        </w:rPr>
        <w:t xml:space="preserve">employee </w:t>
      </w:r>
      <w:r w:rsidR="00DF1882" w:rsidRPr="00B17A66">
        <w:rPr>
          <w:rFonts w:asciiTheme="minorHAnsi" w:hAnsiTheme="minorHAnsi" w:cstheme="minorHAnsi"/>
          <w:iCs/>
        </w:rPr>
        <w:t>store.</w:t>
      </w:r>
    </w:p>
    <w:p w14:paraId="225EF4DF" w14:textId="6FBF5136" w:rsidR="00144BBD" w:rsidRDefault="00E06BD4" w:rsidP="00F34A9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Cs/>
        </w:rPr>
      </w:pPr>
      <w:r w:rsidRPr="00B17A66">
        <w:rPr>
          <w:rFonts w:asciiTheme="minorHAnsi" w:hAnsiTheme="minorHAnsi" w:cstheme="minorHAnsi"/>
          <w:iCs/>
        </w:rPr>
        <w:t>Assists with unemployment claims as needed.</w:t>
      </w:r>
    </w:p>
    <w:p w14:paraId="199B6D5F" w14:textId="3B5C49AE" w:rsidR="005B25CD" w:rsidRPr="00B17A66" w:rsidRDefault="005B25CD" w:rsidP="00F34A9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Maintains personnel and benefits files. </w:t>
      </w:r>
    </w:p>
    <w:p w14:paraId="3A607626" w14:textId="77777777" w:rsidR="00BD77ED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F2AA88F" w14:textId="78D5BA7E" w:rsidR="00BD77ED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7A66">
        <w:rPr>
          <w:rFonts w:asciiTheme="minorHAnsi" w:hAnsiTheme="minorHAnsi" w:cstheme="minorHAnsi"/>
          <w:b/>
          <w:bCs/>
        </w:rPr>
        <w:t>MINIMUM QUALIFICATIONS</w:t>
      </w:r>
    </w:p>
    <w:p w14:paraId="48AF2CFE" w14:textId="77777777" w:rsidR="00BD77ED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C4365AD" w14:textId="4E468BAA" w:rsidR="007929C9" w:rsidRPr="00B17A66" w:rsidRDefault="007929C9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7A66">
        <w:rPr>
          <w:rFonts w:asciiTheme="minorHAnsi" w:hAnsiTheme="minorHAnsi" w:cstheme="minorHAnsi"/>
          <w:b/>
          <w:bCs/>
        </w:rPr>
        <w:t>Required</w:t>
      </w:r>
      <w:r w:rsidR="00BD77ED" w:rsidRPr="00B17A66">
        <w:rPr>
          <w:rFonts w:asciiTheme="minorHAnsi" w:hAnsiTheme="minorHAnsi" w:cstheme="minorHAnsi"/>
          <w:b/>
          <w:bCs/>
        </w:rPr>
        <w:t xml:space="preserve"> knowledge, </w:t>
      </w:r>
      <w:r w:rsidR="00C8093D" w:rsidRPr="00B17A66">
        <w:rPr>
          <w:rFonts w:asciiTheme="minorHAnsi" w:hAnsiTheme="minorHAnsi" w:cstheme="minorHAnsi"/>
          <w:b/>
          <w:bCs/>
        </w:rPr>
        <w:t>skills,</w:t>
      </w:r>
      <w:r w:rsidR="00BD77ED" w:rsidRPr="00B17A66">
        <w:rPr>
          <w:rFonts w:asciiTheme="minorHAnsi" w:hAnsiTheme="minorHAnsi" w:cstheme="minorHAnsi"/>
          <w:b/>
          <w:bCs/>
        </w:rPr>
        <w:t xml:space="preserve"> and a</w:t>
      </w:r>
      <w:r w:rsidRPr="00B17A66">
        <w:rPr>
          <w:rFonts w:asciiTheme="minorHAnsi" w:hAnsiTheme="minorHAnsi" w:cstheme="minorHAnsi"/>
          <w:b/>
          <w:bCs/>
        </w:rPr>
        <w:t xml:space="preserve">bilities: </w:t>
      </w:r>
    </w:p>
    <w:p w14:paraId="48399955" w14:textId="78133475" w:rsidR="009E7E2B" w:rsidRDefault="009E7E2B" w:rsidP="00BD77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B17A66">
        <w:rPr>
          <w:rFonts w:asciiTheme="minorHAnsi" w:hAnsiTheme="minorHAnsi" w:cstheme="minorHAnsi"/>
          <w:iCs/>
          <w:color w:val="000000" w:themeColor="text1"/>
        </w:rPr>
        <w:t>Extensive knowledge of employee benefits and applicable laws.</w:t>
      </w:r>
    </w:p>
    <w:p w14:paraId="13D074CD" w14:textId="02B81B65" w:rsidR="009D049C" w:rsidRDefault="009D049C" w:rsidP="00BD77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Knowledgeable of state and federal employment laws.</w:t>
      </w:r>
    </w:p>
    <w:p w14:paraId="6BFFAED5" w14:textId="6EC7AE1A" w:rsidR="009D049C" w:rsidRPr="00B17A66" w:rsidRDefault="009D049C" w:rsidP="00BD77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Ability to develop </w:t>
      </w:r>
      <w:r w:rsidR="00320C08">
        <w:rPr>
          <w:rFonts w:asciiTheme="minorHAnsi" w:hAnsiTheme="minorHAnsi" w:cstheme="minorHAnsi"/>
          <w:iCs/>
          <w:color w:val="000000" w:themeColor="text1"/>
        </w:rPr>
        <w:t>professional social media posts.</w:t>
      </w:r>
    </w:p>
    <w:p w14:paraId="515A9194" w14:textId="47C21C22" w:rsidR="00F20E3C" w:rsidRPr="00B17A66" w:rsidRDefault="00F20E3C" w:rsidP="00BD77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B17A66">
        <w:rPr>
          <w:rFonts w:asciiTheme="minorHAnsi" w:hAnsiTheme="minorHAnsi" w:cstheme="minorHAnsi"/>
          <w:iCs/>
          <w:color w:val="000000" w:themeColor="text1"/>
        </w:rPr>
        <w:t>Ability to act with integrity, professionalism, and confidentiality.</w:t>
      </w:r>
    </w:p>
    <w:p w14:paraId="34FED0A3" w14:textId="77777777" w:rsidR="002B6CB6" w:rsidRPr="00B17A66" w:rsidRDefault="002B6CB6" w:rsidP="00BD77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B17A66">
        <w:rPr>
          <w:rFonts w:asciiTheme="minorHAnsi" w:hAnsiTheme="minorHAnsi" w:cstheme="minorHAnsi"/>
          <w:iCs/>
          <w:color w:val="000000" w:themeColor="text1"/>
        </w:rPr>
        <w:t>Excellent written and verbal communication skills.</w:t>
      </w:r>
    </w:p>
    <w:p w14:paraId="2E96D1A9" w14:textId="3586D082" w:rsidR="002B6CB6" w:rsidRPr="00B17A66" w:rsidRDefault="002B6CB6" w:rsidP="00BD77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B17A66">
        <w:rPr>
          <w:rFonts w:asciiTheme="minorHAnsi" w:hAnsiTheme="minorHAnsi" w:cstheme="minorHAnsi"/>
          <w:iCs/>
          <w:color w:val="000000" w:themeColor="text1"/>
        </w:rPr>
        <w:t>Excellent organizational and time management skills.</w:t>
      </w:r>
    </w:p>
    <w:p w14:paraId="7D4C1795" w14:textId="77777777" w:rsidR="002B6CB6" w:rsidRPr="00B17A66" w:rsidRDefault="002B6CB6" w:rsidP="00BD77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B17A66">
        <w:rPr>
          <w:rFonts w:asciiTheme="minorHAnsi" w:hAnsiTheme="minorHAnsi" w:cstheme="minorHAnsi"/>
          <w:iCs/>
          <w:color w:val="000000" w:themeColor="text1"/>
        </w:rPr>
        <w:t>Proficient with Microsoft Office Suite or similar software.</w:t>
      </w:r>
    </w:p>
    <w:p w14:paraId="76FE0610" w14:textId="77777777" w:rsidR="00BD77ED" w:rsidRPr="00B17A66" w:rsidRDefault="00BD77ED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97B474E" w14:textId="3227CA14" w:rsidR="007929C9" w:rsidRPr="00B17A66" w:rsidRDefault="007929C9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7A66">
        <w:rPr>
          <w:rFonts w:asciiTheme="minorHAnsi" w:hAnsiTheme="minorHAnsi" w:cstheme="minorHAnsi"/>
          <w:b/>
          <w:bCs/>
        </w:rPr>
        <w:t xml:space="preserve">Education </w:t>
      </w:r>
      <w:r w:rsidR="00BD77ED" w:rsidRPr="00B17A66">
        <w:rPr>
          <w:rFonts w:asciiTheme="minorHAnsi" w:hAnsiTheme="minorHAnsi" w:cstheme="minorHAnsi"/>
          <w:b/>
          <w:bCs/>
        </w:rPr>
        <w:t>a</w:t>
      </w:r>
      <w:r w:rsidRPr="00B17A66">
        <w:rPr>
          <w:rFonts w:asciiTheme="minorHAnsi" w:hAnsiTheme="minorHAnsi" w:cstheme="minorHAnsi"/>
          <w:b/>
          <w:bCs/>
        </w:rPr>
        <w:t>nd Experience:</w:t>
      </w:r>
    </w:p>
    <w:p w14:paraId="5AB8D168" w14:textId="1A1AD6C4" w:rsidR="005C71E4" w:rsidRPr="00B17A66" w:rsidRDefault="00B72F1B" w:rsidP="00BD77E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17A66">
        <w:rPr>
          <w:rFonts w:asciiTheme="minorHAnsi" w:eastAsia="Times New Roman" w:hAnsiTheme="minorHAnsi" w:cstheme="minorHAnsi"/>
          <w:iCs/>
        </w:rPr>
        <w:t xml:space="preserve">Associate’s </w:t>
      </w:r>
      <w:r w:rsidR="00D17EDE" w:rsidRPr="00B17A66">
        <w:rPr>
          <w:rFonts w:asciiTheme="minorHAnsi" w:eastAsia="Times New Roman" w:hAnsiTheme="minorHAnsi" w:cstheme="minorHAnsi"/>
          <w:iCs/>
        </w:rPr>
        <w:t xml:space="preserve">or bachelor’s </w:t>
      </w:r>
      <w:r w:rsidRPr="00B17A66">
        <w:rPr>
          <w:rFonts w:asciiTheme="minorHAnsi" w:eastAsia="Times New Roman" w:hAnsiTheme="minorHAnsi" w:cstheme="minorHAnsi"/>
          <w:iCs/>
        </w:rPr>
        <w:t>degree in HR or related field</w:t>
      </w:r>
      <w:r w:rsidR="00D17EDE" w:rsidRPr="00B17A66">
        <w:rPr>
          <w:rFonts w:asciiTheme="minorHAnsi" w:eastAsia="Times New Roman" w:hAnsiTheme="minorHAnsi" w:cstheme="minorHAnsi"/>
          <w:iCs/>
        </w:rPr>
        <w:t xml:space="preserve"> of study preferred.  Ex</w:t>
      </w:r>
      <w:r w:rsidRPr="00B17A66">
        <w:rPr>
          <w:rFonts w:asciiTheme="minorHAnsi" w:eastAsia="Times New Roman" w:hAnsiTheme="minorHAnsi" w:cstheme="minorHAnsi"/>
          <w:iCs/>
        </w:rPr>
        <w:t>perience and/or other training/certification may be substituted for the education.</w:t>
      </w:r>
      <w:r w:rsidR="00320C08">
        <w:rPr>
          <w:rFonts w:asciiTheme="minorHAnsi" w:eastAsia="Times New Roman" w:hAnsiTheme="minorHAnsi" w:cstheme="minorHAnsi"/>
          <w:iCs/>
        </w:rPr>
        <w:t xml:space="preserve">  </w:t>
      </w:r>
    </w:p>
    <w:p w14:paraId="468ABC15" w14:textId="2B42CC83" w:rsidR="00B72F1B" w:rsidRPr="00B17A66" w:rsidRDefault="00B72F1B" w:rsidP="00BD77E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17A66">
        <w:rPr>
          <w:rFonts w:asciiTheme="minorHAnsi" w:eastAsia="Times New Roman" w:hAnsiTheme="minorHAnsi" w:cstheme="minorHAnsi"/>
          <w:iCs/>
        </w:rPr>
        <w:t>Two years’ experience in HR and/or benefits administration</w:t>
      </w:r>
      <w:r w:rsidR="00D17EDE" w:rsidRPr="00B17A66">
        <w:rPr>
          <w:rFonts w:asciiTheme="minorHAnsi" w:eastAsia="Times New Roman" w:hAnsiTheme="minorHAnsi" w:cstheme="minorHAnsi"/>
          <w:iCs/>
        </w:rPr>
        <w:t xml:space="preserve"> required</w:t>
      </w:r>
      <w:r w:rsidRPr="00B17A66">
        <w:rPr>
          <w:rFonts w:asciiTheme="minorHAnsi" w:eastAsia="Times New Roman" w:hAnsiTheme="minorHAnsi" w:cstheme="minorHAnsi"/>
          <w:iCs/>
        </w:rPr>
        <w:t>.</w:t>
      </w:r>
    </w:p>
    <w:p w14:paraId="324E011F" w14:textId="3A7CFD1D" w:rsidR="00961B97" w:rsidRPr="00B17A66" w:rsidRDefault="00961B97" w:rsidP="00BD77E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17A66">
        <w:rPr>
          <w:rFonts w:asciiTheme="minorHAnsi" w:eastAsia="Times New Roman" w:hAnsiTheme="minorHAnsi" w:cstheme="minorHAnsi"/>
          <w:iCs/>
        </w:rPr>
        <w:t>SHRM Certified Professional (SHRM-CP)</w:t>
      </w:r>
      <w:r w:rsidR="000A1F73" w:rsidRPr="00B17A66">
        <w:rPr>
          <w:rFonts w:asciiTheme="minorHAnsi" w:eastAsia="Times New Roman" w:hAnsiTheme="minorHAnsi" w:cstheme="minorHAnsi"/>
          <w:iCs/>
        </w:rPr>
        <w:t xml:space="preserve">, </w:t>
      </w:r>
      <w:r w:rsidRPr="00B17A66">
        <w:rPr>
          <w:rFonts w:asciiTheme="minorHAnsi" w:eastAsia="Times New Roman" w:hAnsiTheme="minorHAnsi" w:cstheme="minorHAnsi"/>
          <w:iCs/>
        </w:rPr>
        <w:t>SHRM Senior Certified Professional (SHRM-SCP) </w:t>
      </w:r>
      <w:r w:rsidR="002A46F3" w:rsidRPr="00B17A66">
        <w:rPr>
          <w:rFonts w:asciiTheme="minorHAnsi" w:eastAsia="Times New Roman" w:hAnsiTheme="minorHAnsi" w:cstheme="minorHAnsi"/>
          <w:iCs/>
        </w:rPr>
        <w:t xml:space="preserve">or </w:t>
      </w:r>
      <w:r w:rsidR="00D0706D" w:rsidRPr="00B17A66">
        <w:rPr>
          <w:rFonts w:asciiTheme="minorHAnsi" w:eastAsia="Times New Roman" w:hAnsiTheme="minorHAnsi" w:cstheme="minorHAnsi"/>
          <w:iCs/>
        </w:rPr>
        <w:t>International Public Management Association for Human Resources (</w:t>
      </w:r>
      <w:r w:rsidR="002A46F3" w:rsidRPr="00B17A66">
        <w:rPr>
          <w:rFonts w:asciiTheme="minorHAnsi" w:eastAsia="Times New Roman" w:hAnsiTheme="minorHAnsi" w:cstheme="minorHAnsi"/>
          <w:iCs/>
        </w:rPr>
        <w:t>IPMA</w:t>
      </w:r>
      <w:r w:rsidR="00D0706D" w:rsidRPr="00B17A66">
        <w:rPr>
          <w:rFonts w:asciiTheme="minorHAnsi" w:eastAsia="Times New Roman" w:hAnsiTheme="minorHAnsi" w:cstheme="minorHAnsi"/>
          <w:iCs/>
        </w:rPr>
        <w:t>-HR)</w:t>
      </w:r>
      <w:r w:rsidR="002A46F3" w:rsidRPr="00B17A66">
        <w:rPr>
          <w:rFonts w:asciiTheme="minorHAnsi" w:eastAsia="Times New Roman" w:hAnsiTheme="minorHAnsi" w:cstheme="minorHAnsi"/>
          <w:iCs/>
        </w:rPr>
        <w:t xml:space="preserve"> </w:t>
      </w:r>
      <w:r w:rsidRPr="00B17A66">
        <w:rPr>
          <w:rFonts w:asciiTheme="minorHAnsi" w:eastAsia="Times New Roman" w:hAnsiTheme="minorHAnsi" w:cstheme="minorHAnsi"/>
          <w:iCs/>
        </w:rPr>
        <w:t xml:space="preserve">certification </w:t>
      </w:r>
      <w:r w:rsidR="00D17EDE" w:rsidRPr="00B17A66">
        <w:rPr>
          <w:rFonts w:asciiTheme="minorHAnsi" w:eastAsia="Times New Roman" w:hAnsiTheme="minorHAnsi" w:cstheme="minorHAnsi"/>
          <w:iCs/>
        </w:rPr>
        <w:t>preferred</w:t>
      </w:r>
      <w:r w:rsidRPr="00B17A66">
        <w:rPr>
          <w:rFonts w:asciiTheme="minorHAnsi" w:eastAsia="Times New Roman" w:hAnsiTheme="minorHAnsi" w:cstheme="minorHAnsi"/>
          <w:iCs/>
        </w:rPr>
        <w:t>.</w:t>
      </w:r>
    </w:p>
    <w:p w14:paraId="54AD4533" w14:textId="77777777" w:rsidR="005C4C2F" w:rsidRPr="00B17A66" w:rsidRDefault="005C4C2F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F03FDD6" w14:textId="55AFCF37" w:rsidR="007929C9" w:rsidRPr="00B17A66" w:rsidRDefault="007929C9" w:rsidP="00BD77E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7A66">
        <w:rPr>
          <w:rFonts w:asciiTheme="minorHAnsi" w:hAnsiTheme="minorHAnsi" w:cstheme="minorHAnsi"/>
          <w:b/>
          <w:bCs/>
        </w:rPr>
        <w:t xml:space="preserve">Physical Requirements: </w:t>
      </w:r>
    </w:p>
    <w:p w14:paraId="5386F716" w14:textId="77777777" w:rsidR="004C6C70" w:rsidRPr="00B17A66" w:rsidRDefault="004C6C70" w:rsidP="00BD77E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B17A66">
        <w:rPr>
          <w:rFonts w:asciiTheme="minorHAnsi" w:hAnsiTheme="minorHAnsi" w:cstheme="minorHAnsi"/>
          <w:iCs/>
          <w:color w:val="000000" w:themeColor="text1"/>
        </w:rPr>
        <w:t>Prolonged periods sitting at a desk and working on a computer.</w:t>
      </w:r>
    </w:p>
    <w:p w14:paraId="7BC1EB2B" w14:textId="77777777" w:rsidR="004C6C70" w:rsidRPr="00B17A66" w:rsidRDefault="004C6C70" w:rsidP="00BD77E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B17A66">
        <w:rPr>
          <w:rFonts w:asciiTheme="minorHAnsi" w:hAnsiTheme="minorHAnsi" w:cstheme="minorHAnsi"/>
          <w:iCs/>
          <w:color w:val="000000" w:themeColor="text1"/>
        </w:rPr>
        <w:lastRenderedPageBreak/>
        <w:t xml:space="preserve">Must be able to </w:t>
      </w:r>
      <w:proofErr w:type="gramStart"/>
      <w:r w:rsidRPr="00B17A66">
        <w:rPr>
          <w:rFonts w:asciiTheme="minorHAnsi" w:hAnsiTheme="minorHAnsi" w:cstheme="minorHAnsi"/>
          <w:iCs/>
          <w:color w:val="000000" w:themeColor="text1"/>
        </w:rPr>
        <w:t>lift up</w:t>
      </w:r>
      <w:proofErr w:type="gramEnd"/>
      <w:r w:rsidRPr="00B17A66">
        <w:rPr>
          <w:rFonts w:asciiTheme="minorHAnsi" w:hAnsiTheme="minorHAnsi" w:cstheme="minorHAnsi"/>
          <w:iCs/>
          <w:color w:val="000000" w:themeColor="text1"/>
        </w:rPr>
        <w:t xml:space="preserve"> to 15 pounds at a time.</w:t>
      </w:r>
    </w:p>
    <w:sectPr w:rsidR="004C6C70" w:rsidRPr="00B17A66" w:rsidSect="008F24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97BF" w14:textId="77777777" w:rsidR="00EB3D4C" w:rsidRDefault="00EB3D4C" w:rsidP="00105331">
      <w:pPr>
        <w:spacing w:after="0" w:line="240" w:lineRule="auto"/>
      </w:pPr>
      <w:r>
        <w:separator/>
      </w:r>
    </w:p>
  </w:endnote>
  <w:endnote w:type="continuationSeparator" w:id="0">
    <w:p w14:paraId="2D0FAFC8" w14:textId="77777777" w:rsidR="00EB3D4C" w:rsidRDefault="00EB3D4C" w:rsidP="0010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f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C65C" w14:textId="77777777" w:rsidR="00105331" w:rsidRDefault="00105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83D8" w14:textId="77777777" w:rsidR="00105331" w:rsidRDefault="00105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184A" w14:textId="77777777" w:rsidR="00105331" w:rsidRDefault="0010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BB07" w14:textId="77777777" w:rsidR="00EB3D4C" w:rsidRDefault="00EB3D4C" w:rsidP="00105331">
      <w:pPr>
        <w:spacing w:after="0" w:line="240" w:lineRule="auto"/>
      </w:pPr>
      <w:r>
        <w:separator/>
      </w:r>
    </w:p>
  </w:footnote>
  <w:footnote w:type="continuationSeparator" w:id="0">
    <w:p w14:paraId="53853748" w14:textId="77777777" w:rsidR="00EB3D4C" w:rsidRDefault="00EB3D4C" w:rsidP="0010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3749" w14:textId="77777777" w:rsidR="00105331" w:rsidRDefault="00105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21C0" w14:textId="3ECAB69B" w:rsidR="00105331" w:rsidRDefault="00105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205" w14:textId="77777777" w:rsidR="00105331" w:rsidRDefault="0010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32"/>
    <w:multiLevelType w:val="multilevel"/>
    <w:tmpl w:val="83AC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CCC"/>
    <w:multiLevelType w:val="multilevel"/>
    <w:tmpl w:val="7E0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1333C"/>
    <w:multiLevelType w:val="multilevel"/>
    <w:tmpl w:val="83AC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A1068"/>
    <w:multiLevelType w:val="hybridMultilevel"/>
    <w:tmpl w:val="1102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7882"/>
    <w:multiLevelType w:val="multilevel"/>
    <w:tmpl w:val="FF5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A79A6"/>
    <w:multiLevelType w:val="hybridMultilevel"/>
    <w:tmpl w:val="337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42364"/>
    <w:multiLevelType w:val="multilevel"/>
    <w:tmpl w:val="FF5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1969"/>
    <w:multiLevelType w:val="hybridMultilevel"/>
    <w:tmpl w:val="EE12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50AF2"/>
    <w:multiLevelType w:val="hybridMultilevel"/>
    <w:tmpl w:val="006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474E6"/>
    <w:multiLevelType w:val="hybridMultilevel"/>
    <w:tmpl w:val="DF9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C5D0D"/>
    <w:multiLevelType w:val="multilevel"/>
    <w:tmpl w:val="FF5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F24FB"/>
    <w:multiLevelType w:val="hybridMultilevel"/>
    <w:tmpl w:val="B500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8444">
    <w:abstractNumId w:val="7"/>
  </w:num>
  <w:num w:numId="2" w16cid:durableId="1660226824">
    <w:abstractNumId w:val="1"/>
  </w:num>
  <w:num w:numId="3" w16cid:durableId="302543155">
    <w:abstractNumId w:val="9"/>
  </w:num>
  <w:num w:numId="4" w16cid:durableId="1838423578">
    <w:abstractNumId w:val="11"/>
  </w:num>
  <w:num w:numId="5" w16cid:durableId="2040466659">
    <w:abstractNumId w:val="9"/>
  </w:num>
  <w:num w:numId="6" w16cid:durableId="1636566706">
    <w:abstractNumId w:val="14"/>
  </w:num>
  <w:num w:numId="7" w16cid:durableId="1157113985">
    <w:abstractNumId w:val="2"/>
  </w:num>
  <w:num w:numId="8" w16cid:durableId="1623993407">
    <w:abstractNumId w:val="3"/>
  </w:num>
  <w:num w:numId="9" w16cid:durableId="218984445">
    <w:abstractNumId w:val="13"/>
  </w:num>
  <w:num w:numId="10" w16cid:durableId="76905068">
    <w:abstractNumId w:val="5"/>
  </w:num>
  <w:num w:numId="11" w16cid:durableId="1118570984">
    <w:abstractNumId w:val="8"/>
  </w:num>
  <w:num w:numId="12" w16cid:durableId="1220166904">
    <w:abstractNumId w:val="0"/>
  </w:num>
  <w:num w:numId="13" w16cid:durableId="818419807">
    <w:abstractNumId w:val="6"/>
  </w:num>
  <w:num w:numId="14" w16cid:durableId="1634754212">
    <w:abstractNumId w:val="12"/>
  </w:num>
  <w:num w:numId="15" w16cid:durableId="1998532890">
    <w:abstractNumId w:val="10"/>
  </w:num>
  <w:num w:numId="16" w16cid:durableId="1983731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3100E"/>
    <w:rsid w:val="00044614"/>
    <w:rsid w:val="000818B6"/>
    <w:rsid w:val="000A1F73"/>
    <w:rsid w:val="000B3F28"/>
    <w:rsid w:val="000D25DE"/>
    <w:rsid w:val="000D435C"/>
    <w:rsid w:val="000E31CF"/>
    <w:rsid w:val="00105331"/>
    <w:rsid w:val="00131E58"/>
    <w:rsid w:val="00144BBD"/>
    <w:rsid w:val="001720ED"/>
    <w:rsid w:val="001820F2"/>
    <w:rsid w:val="00195061"/>
    <w:rsid w:val="001A2AE4"/>
    <w:rsid w:val="001B5A02"/>
    <w:rsid w:val="001B5F92"/>
    <w:rsid w:val="001D3964"/>
    <w:rsid w:val="001F476F"/>
    <w:rsid w:val="0020513F"/>
    <w:rsid w:val="00255BD6"/>
    <w:rsid w:val="002A06FA"/>
    <w:rsid w:val="002A46F3"/>
    <w:rsid w:val="002B6CB6"/>
    <w:rsid w:val="002D3C91"/>
    <w:rsid w:val="002D4987"/>
    <w:rsid w:val="002D73F9"/>
    <w:rsid w:val="00305A8E"/>
    <w:rsid w:val="003124A8"/>
    <w:rsid w:val="00320C08"/>
    <w:rsid w:val="0035463B"/>
    <w:rsid w:val="00361883"/>
    <w:rsid w:val="003636FA"/>
    <w:rsid w:val="003747A7"/>
    <w:rsid w:val="00376EA9"/>
    <w:rsid w:val="003A7177"/>
    <w:rsid w:val="003B1762"/>
    <w:rsid w:val="003D39F9"/>
    <w:rsid w:val="003E29A0"/>
    <w:rsid w:val="003E2DE3"/>
    <w:rsid w:val="003E3FDC"/>
    <w:rsid w:val="003E7535"/>
    <w:rsid w:val="00403BD9"/>
    <w:rsid w:val="00412F2C"/>
    <w:rsid w:val="00414A7F"/>
    <w:rsid w:val="00455F9A"/>
    <w:rsid w:val="00456FA4"/>
    <w:rsid w:val="0046731F"/>
    <w:rsid w:val="004673F7"/>
    <w:rsid w:val="00470DE0"/>
    <w:rsid w:val="0048407E"/>
    <w:rsid w:val="004910CE"/>
    <w:rsid w:val="004B2ABA"/>
    <w:rsid w:val="004C6C70"/>
    <w:rsid w:val="004E3AE6"/>
    <w:rsid w:val="00500889"/>
    <w:rsid w:val="00513825"/>
    <w:rsid w:val="00573466"/>
    <w:rsid w:val="0057402A"/>
    <w:rsid w:val="00586762"/>
    <w:rsid w:val="00594635"/>
    <w:rsid w:val="005B25CD"/>
    <w:rsid w:val="005C4C2F"/>
    <w:rsid w:val="005C71E4"/>
    <w:rsid w:val="00617E5E"/>
    <w:rsid w:val="00661C01"/>
    <w:rsid w:val="006A09B4"/>
    <w:rsid w:val="006A5150"/>
    <w:rsid w:val="006B09D9"/>
    <w:rsid w:val="006B76C0"/>
    <w:rsid w:val="006C6BEC"/>
    <w:rsid w:val="006E2499"/>
    <w:rsid w:val="006E7D93"/>
    <w:rsid w:val="00714EC1"/>
    <w:rsid w:val="00727BA8"/>
    <w:rsid w:val="00736A9D"/>
    <w:rsid w:val="007604FF"/>
    <w:rsid w:val="00791BB2"/>
    <w:rsid w:val="007929C9"/>
    <w:rsid w:val="0079637D"/>
    <w:rsid w:val="007C72DE"/>
    <w:rsid w:val="007F75F9"/>
    <w:rsid w:val="00814FB6"/>
    <w:rsid w:val="00822EA8"/>
    <w:rsid w:val="00831887"/>
    <w:rsid w:val="0084061D"/>
    <w:rsid w:val="00851562"/>
    <w:rsid w:val="0085361F"/>
    <w:rsid w:val="00856702"/>
    <w:rsid w:val="00856BF0"/>
    <w:rsid w:val="008816D1"/>
    <w:rsid w:val="008E2FBB"/>
    <w:rsid w:val="008F249A"/>
    <w:rsid w:val="00912B83"/>
    <w:rsid w:val="00927D44"/>
    <w:rsid w:val="00946B95"/>
    <w:rsid w:val="00957C99"/>
    <w:rsid w:val="009618A1"/>
    <w:rsid w:val="00961B97"/>
    <w:rsid w:val="009757C3"/>
    <w:rsid w:val="009761D1"/>
    <w:rsid w:val="00986DA1"/>
    <w:rsid w:val="009A1DEC"/>
    <w:rsid w:val="009B47B8"/>
    <w:rsid w:val="009D049C"/>
    <w:rsid w:val="009E7E2B"/>
    <w:rsid w:val="009E7F86"/>
    <w:rsid w:val="009F4E3C"/>
    <w:rsid w:val="009F7376"/>
    <w:rsid w:val="00A02812"/>
    <w:rsid w:val="00A0678F"/>
    <w:rsid w:val="00A24B5A"/>
    <w:rsid w:val="00A5740B"/>
    <w:rsid w:val="00A7642A"/>
    <w:rsid w:val="00A76921"/>
    <w:rsid w:val="00AE117B"/>
    <w:rsid w:val="00B016A5"/>
    <w:rsid w:val="00B17A66"/>
    <w:rsid w:val="00B40991"/>
    <w:rsid w:val="00B510B2"/>
    <w:rsid w:val="00B72F1B"/>
    <w:rsid w:val="00BC6D14"/>
    <w:rsid w:val="00BD77ED"/>
    <w:rsid w:val="00BE74B5"/>
    <w:rsid w:val="00BF50C4"/>
    <w:rsid w:val="00C13323"/>
    <w:rsid w:val="00C14482"/>
    <w:rsid w:val="00C46556"/>
    <w:rsid w:val="00C641B6"/>
    <w:rsid w:val="00C8093D"/>
    <w:rsid w:val="00C91AD3"/>
    <w:rsid w:val="00CA2974"/>
    <w:rsid w:val="00CC2693"/>
    <w:rsid w:val="00D02A1D"/>
    <w:rsid w:val="00D0706D"/>
    <w:rsid w:val="00D13BAB"/>
    <w:rsid w:val="00D17894"/>
    <w:rsid w:val="00D17EDE"/>
    <w:rsid w:val="00D22208"/>
    <w:rsid w:val="00D23D3D"/>
    <w:rsid w:val="00D40968"/>
    <w:rsid w:val="00D54197"/>
    <w:rsid w:val="00D83098"/>
    <w:rsid w:val="00D839AD"/>
    <w:rsid w:val="00DD1EB6"/>
    <w:rsid w:val="00DD2454"/>
    <w:rsid w:val="00DF1882"/>
    <w:rsid w:val="00E06BD4"/>
    <w:rsid w:val="00E118BE"/>
    <w:rsid w:val="00E23FEC"/>
    <w:rsid w:val="00E2725F"/>
    <w:rsid w:val="00E4480D"/>
    <w:rsid w:val="00E62CA9"/>
    <w:rsid w:val="00EB3D4C"/>
    <w:rsid w:val="00EC0478"/>
    <w:rsid w:val="00EC7DA0"/>
    <w:rsid w:val="00EF4B81"/>
    <w:rsid w:val="00F20E3C"/>
    <w:rsid w:val="00F2774A"/>
    <w:rsid w:val="00F34A9E"/>
    <w:rsid w:val="00F61080"/>
    <w:rsid w:val="00F66A3C"/>
    <w:rsid w:val="00FA1AFC"/>
    <w:rsid w:val="00FA3368"/>
    <w:rsid w:val="00FC7DD3"/>
    <w:rsid w:val="00FD2178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8A824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0D"/>
    <w:pPr>
      <w:spacing w:after="6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894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894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94"/>
    <w:rPr>
      <w:rFonts w:ascii="Times New Roman" w:hAnsi="Times New Roman" w:cs="Times New Roman"/>
      <w:color w:val="44546A" w:themeColor="text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0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31"/>
  </w:style>
  <w:style w:type="paragraph" w:styleId="Footer">
    <w:name w:val="footer"/>
    <w:basedOn w:val="Normal"/>
    <w:link w:val="FooterChar"/>
    <w:uiPriority w:val="99"/>
    <w:unhideWhenUsed/>
    <w:rsid w:val="0010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31"/>
  </w:style>
  <w:style w:type="table" w:customStyle="1" w:styleId="TableGrid1">
    <w:name w:val="Table Grid1"/>
    <w:basedOn w:val="TableNormal"/>
    <w:next w:val="TableGrid"/>
    <w:uiPriority w:val="39"/>
    <w:rsid w:val="002D4987"/>
    <w:pPr>
      <w:spacing w:after="0" w:line="240" w:lineRule="auto"/>
    </w:pPr>
    <w:rPr>
      <w:rFonts w:asciiTheme="minorHAnsi" w:hAnsiTheme="minorHAnsi"/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95224A7C564DAE9A129A74872935" ma:contentTypeVersion="4" ma:contentTypeDescription="Create a new document." ma:contentTypeScope="" ma:versionID="d1248ddf07e3d1743c02d7b1ce712378">
  <xsd:schema xmlns:xsd="http://www.w3.org/2001/XMLSchema" xmlns:xs="http://www.w3.org/2001/XMLSchema" xmlns:p="http://schemas.microsoft.com/office/2006/metadata/properties" xmlns:ns2="3574a6eb-e591-4be7-b621-e51a3095980e" xmlns:ns3="ac893ba3-47cd-4b33-b4a2-ee8ba640ecf4" targetNamespace="http://schemas.microsoft.com/office/2006/metadata/properties" ma:root="true" ma:fieldsID="c242710ccebdbad5cce343eb8e2e2f20" ns2:_="" ns3:_="">
    <xsd:import namespace="3574a6eb-e591-4be7-b621-e51a3095980e"/>
    <xsd:import namespace="ac893ba3-47cd-4b33-b4a2-ee8ba640e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a6eb-e591-4be7-b621-e51a309598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3ba3-47cd-4b33-b4a2-ee8ba640e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1D7FC-2E48-441A-8133-90B1562FF6E9}"/>
</file>

<file path=customXml/itemProps2.xml><?xml version="1.0" encoding="utf-8"?>
<ds:datastoreItem xmlns:ds="http://schemas.openxmlformats.org/officeDocument/2006/customXml" ds:itemID="{EF9071DA-1970-4CD8-81FD-88C54548E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76BC5-DEB9-4777-A6B5-D67A40365EF9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EFFBEB-3596-45B3-9B6D-37A4261D9D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B6AAFC-E1A9-40E9-BA8C-75F9AFC3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Carla Wallen</cp:lastModifiedBy>
  <cp:revision>2</cp:revision>
  <cp:lastPrinted>2022-11-30T14:30:00Z</cp:lastPrinted>
  <dcterms:created xsi:type="dcterms:W3CDTF">2023-02-28T21:09:00Z</dcterms:created>
  <dcterms:modified xsi:type="dcterms:W3CDTF">2023-02-28T21:09:00Z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0x0101007D4995224A7C564DAE9A129A74872935</vt:lpwstr>
  </property>
  <property fmtid="{D5CDD505-2E9C-101B-9397-08002B2CF9AE}" pid="3" name="_dlc_DocIdItemGuid">
    <vt:lpwstr>a597eb7c-97b3-4144-b7bb-d1eca1456ba3</vt:lpwstr>
  </property>
  <property fmtid="{D5CDD505-2E9C-101B-9397-08002B2CF9AE}" pid="4" name="Order">
    <vt:r8>106900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